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1E" w:rsidRPr="0083691E" w:rsidRDefault="0083691E" w:rsidP="0083691E">
      <w:pPr>
        <w:jc w:val="center"/>
        <w:rPr>
          <w:b/>
        </w:rPr>
      </w:pPr>
      <w:r w:rsidRPr="0083691E">
        <w:rPr>
          <w:b/>
          <w:bCs/>
        </w:rPr>
        <w:t>«ТОСЭР в городе Кондопога,</w:t>
      </w:r>
      <w:r>
        <w:rPr>
          <w:b/>
          <w:bCs/>
        </w:rPr>
        <w:t xml:space="preserve"> </w:t>
      </w:r>
      <w:r w:rsidRPr="0083691E">
        <w:rPr>
          <w:b/>
          <w:bCs/>
        </w:rPr>
        <w:t>Республика Карелия»</w:t>
      </w:r>
    </w:p>
    <w:p w:rsidR="0083691E" w:rsidRPr="0083691E" w:rsidRDefault="0083691E" w:rsidP="0083691E">
      <w:pPr>
        <w:jc w:val="center"/>
        <w:rPr>
          <w:b/>
        </w:rPr>
      </w:pPr>
      <w:r w:rsidRPr="0083691E">
        <w:rPr>
          <w:b/>
          <w:bCs/>
        </w:rPr>
        <w:t>Садовников Виталий Михайлович,</w:t>
      </w:r>
    </w:p>
    <w:p w:rsidR="0083691E" w:rsidRPr="0083691E" w:rsidRDefault="0083691E" w:rsidP="0083691E">
      <w:pPr>
        <w:jc w:val="center"/>
        <w:rPr>
          <w:b/>
        </w:rPr>
      </w:pPr>
      <w:r w:rsidRPr="0083691E">
        <w:rPr>
          <w:b/>
          <w:bCs/>
        </w:rPr>
        <w:t xml:space="preserve">Глава Администрации </w:t>
      </w:r>
      <w:proofErr w:type="spellStart"/>
      <w:r w:rsidRPr="0083691E">
        <w:rPr>
          <w:b/>
          <w:bCs/>
        </w:rPr>
        <w:t>Кондопожского</w:t>
      </w:r>
      <w:proofErr w:type="spellEnd"/>
      <w:r w:rsidRPr="0083691E">
        <w:rPr>
          <w:b/>
          <w:bCs/>
        </w:rPr>
        <w:t xml:space="preserve"> муниципального района</w:t>
      </w:r>
    </w:p>
    <w:p w:rsidR="0083691E" w:rsidRDefault="0083691E" w:rsidP="00C55D23">
      <w:pPr>
        <w:ind w:firstLine="709"/>
        <w:jc w:val="both"/>
        <w:rPr>
          <w:b/>
        </w:rPr>
      </w:pPr>
    </w:p>
    <w:p w:rsidR="00C55D23" w:rsidRDefault="00D80010" w:rsidP="00C55D23">
      <w:pPr>
        <w:ind w:firstLine="709"/>
        <w:jc w:val="both"/>
      </w:pPr>
      <w:proofErr w:type="spellStart"/>
      <w:r>
        <w:rPr>
          <w:b/>
        </w:rPr>
        <w:t>Кондопожск</w:t>
      </w:r>
      <w:r w:rsidR="004A6726">
        <w:rPr>
          <w:b/>
        </w:rPr>
        <w:t>ий</w:t>
      </w:r>
      <w:proofErr w:type="spellEnd"/>
      <w:r>
        <w:rPr>
          <w:b/>
        </w:rPr>
        <w:t xml:space="preserve"> муниципальн</w:t>
      </w:r>
      <w:r w:rsidR="004A6726">
        <w:rPr>
          <w:b/>
        </w:rPr>
        <w:t>ый</w:t>
      </w:r>
      <w:r>
        <w:rPr>
          <w:b/>
        </w:rPr>
        <w:t xml:space="preserve"> район</w:t>
      </w:r>
      <w:r w:rsidR="004A6726">
        <w:rPr>
          <w:b/>
        </w:rPr>
        <w:t xml:space="preserve"> образован</w:t>
      </w:r>
      <w:r w:rsidR="00C55D23">
        <w:rPr>
          <w:b/>
        </w:rPr>
        <w:t xml:space="preserve"> </w:t>
      </w:r>
      <w:r w:rsidR="00C55D23">
        <w:rPr>
          <w:rStyle w:val="a3"/>
          <w:bCs w:val="0"/>
        </w:rPr>
        <w:t>19 июля 1927 г.</w:t>
      </w:r>
      <w:r w:rsidR="00C55D23">
        <w:t xml:space="preserve"> </w:t>
      </w:r>
    </w:p>
    <w:p w:rsidR="00C55D23" w:rsidRDefault="00C55D23" w:rsidP="00C55D23">
      <w:pPr>
        <w:ind w:firstLine="709"/>
        <w:jc w:val="both"/>
        <w:rPr>
          <w:rStyle w:val="a3"/>
        </w:rPr>
      </w:pPr>
    </w:p>
    <w:p w:rsidR="00EF425E" w:rsidRDefault="00C55D23" w:rsidP="00C55D23">
      <w:pPr>
        <w:ind w:firstLine="709"/>
        <w:jc w:val="both"/>
      </w:pPr>
      <w:r>
        <w:rPr>
          <w:b/>
        </w:rPr>
        <w:t xml:space="preserve">Административный центр: </w:t>
      </w:r>
      <w:r w:rsidRPr="008E64A1">
        <w:rPr>
          <w:b/>
        </w:rPr>
        <w:t>г. Кондопога,</w:t>
      </w:r>
      <w:r>
        <w:t xml:space="preserve"> преобразованный из поселка Постановлением ВЦИК от </w:t>
      </w:r>
      <w:r w:rsidRPr="008E64A1">
        <w:rPr>
          <w:b/>
        </w:rPr>
        <w:t>5 июня 1938 г.</w:t>
      </w:r>
      <w:r>
        <w:t xml:space="preserve"> </w:t>
      </w:r>
    </w:p>
    <w:p w:rsidR="00C55D23" w:rsidRDefault="00EF425E" w:rsidP="00C55D23">
      <w:pPr>
        <w:ind w:firstLine="709"/>
        <w:jc w:val="both"/>
      </w:pPr>
      <w:r>
        <w:t>П</w:t>
      </w:r>
      <w:r w:rsidR="00C55D23">
        <w:t>лощадь территории городского поселения составляет 3,6 % от площади территории муниципального района, однако на его территории проживает 4/5 доли населения района.</w:t>
      </w:r>
    </w:p>
    <w:p w:rsidR="00027E31" w:rsidRDefault="00027E31" w:rsidP="00027E31">
      <w:pPr>
        <w:ind w:firstLine="709"/>
        <w:jc w:val="both"/>
        <w:rPr>
          <w:rStyle w:val="a3"/>
        </w:rPr>
      </w:pPr>
    </w:p>
    <w:p w:rsidR="00027E31" w:rsidRDefault="00027E31" w:rsidP="00027E31">
      <w:pPr>
        <w:ind w:firstLine="709"/>
        <w:jc w:val="both"/>
      </w:pPr>
      <w:r>
        <w:rPr>
          <w:rStyle w:val="a3"/>
        </w:rPr>
        <w:t>Административно – территориальное деление:</w:t>
      </w:r>
      <w:r>
        <w:t xml:space="preserve"> в состав </w:t>
      </w:r>
      <w:proofErr w:type="spellStart"/>
      <w:r>
        <w:t>Кондопожского</w:t>
      </w:r>
      <w:proofErr w:type="spellEnd"/>
      <w:r>
        <w:t xml:space="preserve"> муниципального района входят </w:t>
      </w:r>
      <w:r w:rsidRPr="00BE19D3">
        <w:rPr>
          <w:b/>
        </w:rPr>
        <w:t>1 городское поселение</w:t>
      </w:r>
      <w:r>
        <w:t xml:space="preserve"> (</w:t>
      </w:r>
      <w:proofErr w:type="spellStart"/>
      <w:r>
        <w:t>Кондопожское</w:t>
      </w:r>
      <w:proofErr w:type="spellEnd"/>
      <w:r>
        <w:t xml:space="preserve">) и </w:t>
      </w:r>
      <w:r w:rsidRPr="00BE19D3">
        <w:rPr>
          <w:b/>
        </w:rPr>
        <w:t>7 сельских поселений</w:t>
      </w:r>
      <w:r>
        <w:t xml:space="preserve"> (</w:t>
      </w:r>
      <w:proofErr w:type="spellStart"/>
      <w:r>
        <w:t>Гирвасское</w:t>
      </w:r>
      <w:proofErr w:type="spellEnd"/>
      <w:r>
        <w:t xml:space="preserve">, </w:t>
      </w:r>
      <w:proofErr w:type="spellStart"/>
      <w:r>
        <w:t>Кедрозерское</w:t>
      </w:r>
      <w:proofErr w:type="spellEnd"/>
      <w:r>
        <w:t xml:space="preserve">, </w:t>
      </w:r>
      <w:proofErr w:type="spellStart"/>
      <w:r>
        <w:t>Кончезерское</w:t>
      </w:r>
      <w:proofErr w:type="spellEnd"/>
      <w:r>
        <w:t xml:space="preserve">, </w:t>
      </w:r>
      <w:proofErr w:type="spellStart"/>
      <w:r>
        <w:t>Кяппесельгское</w:t>
      </w:r>
      <w:proofErr w:type="spellEnd"/>
      <w:r>
        <w:t xml:space="preserve">, </w:t>
      </w:r>
      <w:proofErr w:type="spellStart"/>
      <w:r>
        <w:t>Новинское</w:t>
      </w:r>
      <w:proofErr w:type="spellEnd"/>
      <w:r>
        <w:t xml:space="preserve">, Петровское, </w:t>
      </w:r>
      <w:proofErr w:type="spellStart"/>
      <w:r>
        <w:t>Янишпольское</w:t>
      </w:r>
      <w:proofErr w:type="spellEnd"/>
      <w:r>
        <w:t xml:space="preserve">). </w:t>
      </w:r>
    </w:p>
    <w:p w:rsidR="00C55D23" w:rsidRDefault="00C55D23" w:rsidP="00C55D23">
      <w:pPr>
        <w:widowControl w:val="0"/>
        <w:ind w:firstLine="709"/>
        <w:jc w:val="both"/>
        <w:rPr>
          <w:b/>
          <w:color w:val="000000"/>
        </w:rPr>
      </w:pPr>
    </w:p>
    <w:p w:rsidR="00C55D23" w:rsidRDefault="00C55D23" w:rsidP="00C55D23">
      <w:pPr>
        <w:widowControl w:val="0"/>
        <w:ind w:firstLine="709"/>
        <w:jc w:val="both"/>
      </w:pPr>
      <w:r>
        <w:rPr>
          <w:b/>
          <w:color w:val="000000"/>
        </w:rPr>
        <w:t>Общая информация.</w:t>
      </w:r>
    </w:p>
    <w:p w:rsidR="00C55D23" w:rsidRDefault="00C55D23" w:rsidP="00C55D23">
      <w:pPr>
        <w:ind w:firstLine="709"/>
        <w:jc w:val="both"/>
      </w:pPr>
      <w:proofErr w:type="spellStart"/>
      <w:r>
        <w:t>Кондопожский</w:t>
      </w:r>
      <w:proofErr w:type="spellEnd"/>
      <w:r>
        <w:t xml:space="preserve"> муниципальный район расположен в северной части Южной Карелии. На юго-востоке имеет выход к Онежскому озеру. </w:t>
      </w:r>
    </w:p>
    <w:p w:rsidR="00C55D23" w:rsidRDefault="00C55D23" w:rsidP="00C55D23">
      <w:pPr>
        <w:ind w:firstLine="709"/>
        <w:jc w:val="both"/>
      </w:pPr>
      <w:r>
        <w:t xml:space="preserve">Граничит на севере, северо-востоке и востоке с Медвежьегорским муниципальным  районом, на западе – с </w:t>
      </w:r>
      <w:proofErr w:type="spellStart"/>
      <w:r>
        <w:t>Суоярвским</w:t>
      </w:r>
      <w:proofErr w:type="spellEnd"/>
      <w:r>
        <w:t xml:space="preserve"> муниципальным районом, на юго-западе и юге – с </w:t>
      </w:r>
      <w:proofErr w:type="spellStart"/>
      <w:r>
        <w:t>Пряжинским</w:t>
      </w:r>
      <w:proofErr w:type="spellEnd"/>
      <w:r>
        <w:t xml:space="preserve"> и </w:t>
      </w:r>
      <w:proofErr w:type="spellStart"/>
      <w:r>
        <w:t>Прионежским</w:t>
      </w:r>
      <w:proofErr w:type="spellEnd"/>
      <w:r>
        <w:t xml:space="preserve"> муниципальными районами. </w:t>
      </w:r>
    </w:p>
    <w:p w:rsidR="00C55D23" w:rsidRDefault="00C55D23" w:rsidP="00C55D23">
      <w:pPr>
        <w:ind w:firstLine="709"/>
        <w:jc w:val="both"/>
      </w:pPr>
      <w:r>
        <w:rPr>
          <w:b/>
        </w:rPr>
        <w:t>Общая площадь территории района составляет 5951 км.</w:t>
      </w:r>
      <w:r>
        <w:rPr>
          <w:b/>
          <w:vertAlign w:val="superscript"/>
        </w:rPr>
        <w:t>2</w:t>
      </w:r>
      <w:r>
        <w:t xml:space="preserve"> (</w:t>
      </w:r>
      <w:r>
        <w:rPr>
          <w:shd w:val="clear" w:color="auto" w:fill="FFFFFF"/>
        </w:rPr>
        <w:t>595148 га.).</w:t>
      </w:r>
    </w:p>
    <w:p w:rsidR="00C55D23" w:rsidRDefault="00C55D23" w:rsidP="00C55D2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</w:p>
    <w:p w:rsidR="00C55D23" w:rsidRDefault="00C55D23" w:rsidP="00C55D23">
      <w:pPr>
        <w:pStyle w:val="2"/>
        <w:spacing w:before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Общая информация о районе, особенности положения:</w:t>
      </w:r>
    </w:p>
    <w:p w:rsidR="00672146" w:rsidRDefault="00C55D23" w:rsidP="00C55D23">
      <w:pPr>
        <w:widowControl w:val="0"/>
        <w:autoSpaceDE w:val="0"/>
        <w:ind w:firstLine="709"/>
        <w:jc w:val="both"/>
      </w:pPr>
      <w:proofErr w:type="spellStart"/>
      <w:r>
        <w:t>Кондопожский</w:t>
      </w:r>
      <w:proofErr w:type="spellEnd"/>
      <w:r>
        <w:t xml:space="preserve"> муниципальный район имеет выгодное месторасположение.</w:t>
      </w:r>
    </w:p>
    <w:p w:rsidR="00672146" w:rsidRDefault="00C55D23" w:rsidP="00C55D23">
      <w:pPr>
        <w:widowControl w:val="0"/>
        <w:autoSpaceDE w:val="0"/>
        <w:ind w:firstLine="709"/>
        <w:jc w:val="both"/>
      </w:pPr>
      <w:r>
        <w:t>При этом дополнительными преимуществами обладает административный центр района – г. Кондопога, расположенный на перекрестье транспортных магистралей республики.</w:t>
      </w:r>
    </w:p>
    <w:p w:rsidR="00672146" w:rsidRDefault="00C55D23" w:rsidP="00C55D23">
      <w:pPr>
        <w:widowControl w:val="0"/>
        <w:autoSpaceDE w:val="0"/>
        <w:ind w:firstLine="709"/>
        <w:jc w:val="both"/>
      </w:pPr>
      <w:r>
        <w:t>Близость к столице Карелии создает положительные предпосылки для развития деятельности и повышения качества жизни населения.</w:t>
      </w:r>
    </w:p>
    <w:p w:rsidR="00C55D23" w:rsidRPr="00C55D23" w:rsidRDefault="00C55D23" w:rsidP="00C55D23">
      <w:pPr>
        <w:widowControl w:val="0"/>
        <w:autoSpaceDE w:val="0"/>
        <w:ind w:firstLine="709"/>
        <w:jc w:val="both"/>
      </w:pPr>
      <w:r>
        <w:t xml:space="preserve">Прохождение вблизи территории города или по территории отдельных населенных пунктов федеральной автомобильной </w:t>
      </w:r>
      <w:r w:rsidR="00672146">
        <w:t>дороги «Кола»</w:t>
      </w:r>
      <w:r>
        <w:t xml:space="preserve"> и Октябрьской железной дороги делает муниципальный район хорошо доступным. </w:t>
      </w:r>
    </w:p>
    <w:p w:rsidR="0071017B" w:rsidRDefault="0071017B"/>
    <w:p w:rsidR="00C70482" w:rsidRPr="00C70482" w:rsidRDefault="00C70482" w:rsidP="00FC0AE1">
      <w:pPr>
        <w:ind w:firstLine="709"/>
        <w:jc w:val="both"/>
      </w:pPr>
      <w:r w:rsidRPr="00C70482">
        <w:rPr>
          <w:b/>
        </w:rPr>
        <w:t>Демографическая ситуация</w:t>
      </w:r>
      <w:r w:rsidRPr="00C70482">
        <w:t xml:space="preserve"> в </w:t>
      </w:r>
      <w:proofErr w:type="spellStart"/>
      <w:r w:rsidRPr="00C70482">
        <w:t>Кондопожском</w:t>
      </w:r>
      <w:proofErr w:type="spellEnd"/>
      <w:r w:rsidRPr="00C70482">
        <w:t xml:space="preserve"> муниципальном районе развивается под влиянием динамики рождаемости, смертности и миграции населения. Следует отметить, что в течение ряда лет сохраняется тенденция сокращения численности населения. </w:t>
      </w:r>
    </w:p>
    <w:p w:rsidR="00C70482" w:rsidRPr="00C70482" w:rsidRDefault="00C70482" w:rsidP="00FC0AE1">
      <w:pPr>
        <w:ind w:firstLine="709"/>
        <w:jc w:val="both"/>
      </w:pPr>
      <w:proofErr w:type="gramStart"/>
      <w:r w:rsidRPr="00C51275">
        <w:rPr>
          <w:b/>
        </w:rPr>
        <w:t>Общая численность населения</w:t>
      </w:r>
      <w:r w:rsidRPr="00C70482">
        <w:t xml:space="preserve"> </w:t>
      </w:r>
      <w:proofErr w:type="spellStart"/>
      <w:r w:rsidRPr="00C70482">
        <w:t>Кондопожского</w:t>
      </w:r>
      <w:proofErr w:type="spellEnd"/>
      <w:r w:rsidRPr="00C70482">
        <w:t xml:space="preserve"> муниципального района </w:t>
      </w:r>
      <w:r w:rsidRPr="00C51275">
        <w:rPr>
          <w:b/>
        </w:rPr>
        <w:t xml:space="preserve">на 01.01.2019 г. </w:t>
      </w:r>
      <w:r w:rsidRPr="00C70482">
        <w:t xml:space="preserve">составила </w:t>
      </w:r>
      <w:r w:rsidRPr="00C51275">
        <w:rPr>
          <w:b/>
        </w:rPr>
        <w:t>35943 чел.,</w:t>
      </w:r>
      <w:r w:rsidRPr="00C70482">
        <w:t xml:space="preserve"> в т.ч. </w:t>
      </w:r>
      <w:r w:rsidRPr="009A11F3">
        <w:rPr>
          <w:b/>
        </w:rPr>
        <w:t>городское население – 29735 чел.</w:t>
      </w:r>
      <w:r w:rsidR="005B31BB">
        <w:t xml:space="preserve"> (82,7%)</w:t>
      </w:r>
      <w:r w:rsidRPr="00C70482">
        <w:t>, сельское – 6208 чел.</w:t>
      </w:r>
      <w:r w:rsidR="005B31BB">
        <w:t xml:space="preserve"> (17,3%)</w:t>
      </w:r>
      <w:r w:rsidRPr="00C70482">
        <w:t xml:space="preserve"> (01.01.2018 г. – 36731 чел., в т.ч. городское население – 30299 чел., сельское – 6432 чел.).</w:t>
      </w:r>
      <w:proofErr w:type="gramEnd"/>
    </w:p>
    <w:p w:rsidR="00C70482" w:rsidRPr="00C70482" w:rsidRDefault="00C70482" w:rsidP="00FC0AE1">
      <w:pPr>
        <w:pStyle w:val="a4"/>
        <w:widowControl w:val="0"/>
        <w:ind w:firstLine="709"/>
        <w:jc w:val="both"/>
      </w:pPr>
      <w:r w:rsidRPr="00C70482">
        <w:rPr>
          <w:lang/>
        </w:rPr>
        <w:t>В последние годы отмечается снижение численности населения</w:t>
      </w:r>
      <w:r w:rsidRPr="00C70482">
        <w:t xml:space="preserve"> района. Происходит процесс старения населения, изменяется соотношение между работающим населением, пенсионерами и детьми. </w:t>
      </w:r>
      <w:proofErr w:type="gramStart"/>
      <w:r w:rsidRPr="00C70482">
        <w:t>Наблюдается тенденция уменьшения численности экономически активного населения</w:t>
      </w:r>
      <w:r w:rsidRPr="00C70482">
        <w:rPr>
          <w:bCs/>
        </w:rPr>
        <w:t xml:space="preserve"> (с 19625 человек в 2014 году до 18422 человек в 2018 году)</w:t>
      </w:r>
      <w:r w:rsidRPr="00C70482">
        <w:t xml:space="preserve"> как за счет увеличения численности людей пенсионного возраста</w:t>
      </w:r>
      <w:r w:rsidRPr="00C70482">
        <w:rPr>
          <w:bCs/>
        </w:rPr>
        <w:t xml:space="preserve"> </w:t>
      </w:r>
      <w:r w:rsidRPr="00C70482">
        <w:t>и сокращения общей численности населения в трудоспособном возрасте, так и за счет отрицательной динамики численности населения, в том числе за счет оттока молодежи и квалифицированной рабочей силы в другие районы Республики или регионы</w:t>
      </w:r>
      <w:proofErr w:type="gramEnd"/>
      <w:r w:rsidRPr="00C70482">
        <w:t xml:space="preserve"> Северо-</w:t>
      </w:r>
      <w:r w:rsidRPr="00C70482">
        <w:lastRenderedPageBreak/>
        <w:t xml:space="preserve">Западного Федерального округа. Многие жители проживают в г. Кондопога, а работают в г. Петрозаводске. Соответственно уменьшается численность занятого населения в целом по району. </w:t>
      </w:r>
    </w:p>
    <w:p w:rsidR="006E6646" w:rsidRPr="000E085C" w:rsidRDefault="006E6646" w:rsidP="004C5410">
      <w:pPr>
        <w:widowControl w:val="0"/>
        <w:ind w:firstLine="709"/>
        <w:jc w:val="both"/>
      </w:pPr>
      <w:r w:rsidRPr="008A75DE">
        <w:rPr>
          <w:b/>
        </w:rPr>
        <w:t>Отраслевая структура экономики района</w:t>
      </w:r>
      <w:r w:rsidRPr="000E085C">
        <w:t xml:space="preserve"> является </w:t>
      </w:r>
      <w:proofErr w:type="spellStart"/>
      <w:r w:rsidRPr="000E085C">
        <w:t>монопрофильной</w:t>
      </w:r>
      <w:proofErr w:type="spellEnd"/>
      <w:r w:rsidRPr="000E085C">
        <w:t>, поэтому перспективы развития градообразующего предприятия района - АО «</w:t>
      </w:r>
      <w:proofErr w:type="spellStart"/>
      <w:r w:rsidRPr="000E085C">
        <w:t>Кондопожский</w:t>
      </w:r>
      <w:proofErr w:type="spellEnd"/>
      <w:r w:rsidRPr="000E085C">
        <w:t xml:space="preserve"> ЦБК» (ранее – ОАО «Кондопога») оказывают значительное влияние на экономику района. Следует отметить, что на долю АО «</w:t>
      </w:r>
      <w:proofErr w:type="spellStart"/>
      <w:r w:rsidRPr="000E085C">
        <w:t>Кондопожский</w:t>
      </w:r>
      <w:proofErr w:type="spellEnd"/>
      <w:r w:rsidRPr="000E085C">
        <w:t xml:space="preserve"> ЦБК» приходится более 90% объема промышленного производства города и района. В течение многих лет предприятие является основным налогоплательщиком, обеспечивает наибольшее количество рабочих мест.</w:t>
      </w:r>
    </w:p>
    <w:p w:rsidR="006E6646" w:rsidRPr="000E085C" w:rsidRDefault="006E6646" w:rsidP="004C5410">
      <w:pPr>
        <w:ind w:firstLine="709"/>
        <w:jc w:val="both"/>
      </w:pPr>
      <w:r w:rsidRPr="000E085C">
        <w:t xml:space="preserve">Среднесписочная численность </w:t>
      </w:r>
      <w:proofErr w:type="gramStart"/>
      <w:r w:rsidRPr="000E085C">
        <w:t>работающих</w:t>
      </w:r>
      <w:proofErr w:type="gramEnd"/>
      <w:r w:rsidRPr="000E085C">
        <w:t xml:space="preserve"> по итогам 2018 года составила 3393 человека</w:t>
      </w:r>
      <w:r w:rsidR="005D2E5D">
        <w:t xml:space="preserve">, </w:t>
      </w:r>
      <w:r w:rsidRPr="000E085C">
        <w:t xml:space="preserve">по итогам </w:t>
      </w:r>
      <w:r w:rsidR="005D2E5D">
        <w:t xml:space="preserve">1 полугодия </w:t>
      </w:r>
      <w:r w:rsidRPr="000E085C">
        <w:t>201</w:t>
      </w:r>
      <w:r w:rsidR="005D2E5D">
        <w:t>9</w:t>
      </w:r>
      <w:r w:rsidRPr="000E085C">
        <w:t xml:space="preserve"> года 3</w:t>
      </w:r>
      <w:r w:rsidR="005D2E5D">
        <w:t>333</w:t>
      </w:r>
      <w:r w:rsidRPr="000E085C">
        <w:t xml:space="preserve"> человек</w:t>
      </w:r>
      <w:r w:rsidR="005D2E5D">
        <w:t>а</w:t>
      </w:r>
      <w:r w:rsidRPr="000E085C">
        <w:t xml:space="preserve">.  </w:t>
      </w:r>
    </w:p>
    <w:p w:rsidR="006E6646" w:rsidRDefault="006E6646"/>
    <w:p w:rsidR="000977EB" w:rsidRDefault="00143646" w:rsidP="000977EB">
      <w:pPr>
        <w:ind w:firstLine="709"/>
        <w:jc w:val="both"/>
        <w:rPr>
          <w:b/>
        </w:rPr>
      </w:pPr>
      <w:r>
        <w:t>С целью развития</w:t>
      </w:r>
      <w:r w:rsidR="003011A8" w:rsidRPr="00424B24">
        <w:t xml:space="preserve"> экономического потенциала </w:t>
      </w:r>
      <w:proofErr w:type="spellStart"/>
      <w:r w:rsidR="003011A8" w:rsidRPr="00424B24">
        <w:t>Кондопожского</w:t>
      </w:r>
      <w:proofErr w:type="spellEnd"/>
      <w:r w:rsidR="003011A8" w:rsidRPr="00424B24">
        <w:t xml:space="preserve"> муниципального района и моногорода Кондопога и привлечению инвесторов </w:t>
      </w:r>
      <w:r w:rsidR="00A15693">
        <w:t xml:space="preserve">на территории моногорода </w:t>
      </w:r>
      <w:r w:rsidR="003011A8" w:rsidRPr="00424B24">
        <w:t xml:space="preserve"> </w:t>
      </w:r>
      <w:r w:rsidR="003011A8" w:rsidRPr="00424B24">
        <w:rPr>
          <w:b/>
        </w:rPr>
        <w:t>создан</w:t>
      </w:r>
      <w:r w:rsidR="00A15693">
        <w:rPr>
          <w:b/>
        </w:rPr>
        <w:t>а</w:t>
      </w:r>
      <w:r w:rsidR="003011A8" w:rsidRPr="00424B24">
        <w:rPr>
          <w:b/>
        </w:rPr>
        <w:t xml:space="preserve"> территори</w:t>
      </w:r>
      <w:r w:rsidR="00A15693">
        <w:rPr>
          <w:b/>
        </w:rPr>
        <w:t>я</w:t>
      </w:r>
      <w:r w:rsidR="003011A8" w:rsidRPr="00424B24">
        <w:rPr>
          <w:b/>
        </w:rPr>
        <w:t xml:space="preserve"> опережающего социально-экономического развития</w:t>
      </w:r>
      <w:r w:rsidR="003011A8" w:rsidRPr="00424B24">
        <w:t xml:space="preserve"> (далее – ТОСЭР</w:t>
      </w:r>
      <w:r w:rsidR="000977EB">
        <w:t xml:space="preserve">) </w:t>
      </w:r>
      <w:r w:rsidR="000977EB" w:rsidRPr="004F08C3">
        <w:rPr>
          <w:b/>
        </w:rPr>
        <w:t>(</w:t>
      </w:r>
      <w:r w:rsidR="000977EB" w:rsidRPr="00423C51">
        <w:rPr>
          <w:b/>
        </w:rPr>
        <w:t>Постановление Правительства Российской Федерации от 22.12.2017 г. № 1608</w:t>
      </w:r>
      <w:r w:rsidR="000977EB">
        <w:rPr>
          <w:b/>
        </w:rPr>
        <w:t>).</w:t>
      </w:r>
    </w:p>
    <w:p w:rsidR="000977EB" w:rsidRDefault="000977EB" w:rsidP="000977EB">
      <w:pPr>
        <w:ind w:firstLine="709"/>
        <w:jc w:val="both"/>
      </w:pPr>
      <w:r w:rsidRPr="00424B24">
        <w:t xml:space="preserve">Указанным постановлением определены </w:t>
      </w:r>
      <w:r w:rsidRPr="000977EB">
        <w:rPr>
          <w:b/>
        </w:rPr>
        <w:t>виды экономической деятельности</w:t>
      </w:r>
      <w:r w:rsidRPr="00424B24">
        <w:t>, при осуществлении которых на территории опережающего развития действует особый правовой режим осуществления предпринимательской деятельности при реализации резидентами инвестиционных проектов.</w:t>
      </w:r>
    </w:p>
    <w:p w:rsidR="000977EB" w:rsidRPr="00EA0A98" w:rsidRDefault="000977EB" w:rsidP="000977EB">
      <w:pPr>
        <w:ind w:firstLine="709"/>
        <w:jc w:val="both"/>
      </w:pPr>
      <w:proofErr w:type="gramStart"/>
      <w:r w:rsidRPr="00EA0A98">
        <w:rPr>
          <w:b/>
          <w:bCs/>
        </w:rPr>
        <w:t>Установленные</w:t>
      </w:r>
      <w:proofErr w:type="gramEnd"/>
      <w:r w:rsidRPr="00EA0A98">
        <w:rPr>
          <w:b/>
          <w:bCs/>
        </w:rPr>
        <w:t xml:space="preserve"> ОКВЭД для ТОСЭР Кондопога</w:t>
      </w:r>
      <w:r>
        <w:rPr>
          <w:b/>
          <w:bCs/>
        </w:rPr>
        <w:t xml:space="preserve"> (всего 6 видов)</w:t>
      </w:r>
      <w:r w:rsidRPr="00EA0A98">
        <w:rPr>
          <w:b/>
          <w:bCs/>
        </w:rPr>
        <w:t xml:space="preserve">: </w:t>
      </w:r>
    </w:p>
    <w:p w:rsidR="000977EB" w:rsidRPr="00EA0A98" w:rsidRDefault="000977EB" w:rsidP="000977EB">
      <w:pPr>
        <w:ind w:firstLine="709"/>
        <w:jc w:val="both"/>
      </w:pPr>
      <w:r w:rsidRPr="00EA0A98">
        <w:rPr>
          <w:bCs/>
        </w:rPr>
        <w:t xml:space="preserve">10. Производство пищевых продуктов </w:t>
      </w:r>
    </w:p>
    <w:p w:rsidR="000977EB" w:rsidRPr="00EA0A98" w:rsidRDefault="000977EB" w:rsidP="000977EB">
      <w:pPr>
        <w:ind w:firstLine="709"/>
        <w:jc w:val="both"/>
      </w:pPr>
      <w:r w:rsidRPr="00EA0A98">
        <w:rPr>
          <w:bCs/>
        </w:rPr>
        <w:t xml:space="preserve">16. Обработка древесины и производство изделий из дерева и пробки, кроме мебели, производство изделий из соломки и материалов для плетения </w:t>
      </w:r>
    </w:p>
    <w:p w:rsidR="000977EB" w:rsidRPr="00EA0A98" w:rsidRDefault="000977EB" w:rsidP="000977EB">
      <w:pPr>
        <w:ind w:firstLine="709"/>
        <w:jc w:val="both"/>
      </w:pPr>
      <w:r w:rsidRPr="00EA0A98">
        <w:rPr>
          <w:bCs/>
        </w:rPr>
        <w:t xml:space="preserve">23. Производство прочей неметаллической минеральной продукции </w:t>
      </w:r>
    </w:p>
    <w:p w:rsidR="000977EB" w:rsidRPr="00EA0A98" w:rsidRDefault="000977EB" w:rsidP="000977EB">
      <w:pPr>
        <w:ind w:firstLine="709"/>
        <w:jc w:val="both"/>
      </w:pPr>
      <w:r w:rsidRPr="00EA0A98">
        <w:rPr>
          <w:bCs/>
        </w:rPr>
        <w:t xml:space="preserve">38.32.5 Обработка вторичного неметаллического сырья </w:t>
      </w:r>
    </w:p>
    <w:p w:rsidR="000977EB" w:rsidRPr="00EA0A98" w:rsidRDefault="000977EB" w:rsidP="000977EB">
      <w:pPr>
        <w:ind w:firstLine="709"/>
        <w:jc w:val="both"/>
      </w:pPr>
      <w:r w:rsidRPr="00EA0A98">
        <w:rPr>
          <w:bCs/>
        </w:rPr>
        <w:t xml:space="preserve">55. Деятельность по предоставлению мест для временного проживания </w:t>
      </w:r>
    </w:p>
    <w:p w:rsidR="000977EB" w:rsidRPr="00EA0A98" w:rsidRDefault="000977EB" w:rsidP="000977EB">
      <w:pPr>
        <w:ind w:firstLine="709"/>
        <w:jc w:val="both"/>
      </w:pPr>
      <w:r w:rsidRPr="00EA0A98">
        <w:rPr>
          <w:bCs/>
        </w:rPr>
        <w:t xml:space="preserve">56. Деятельность по предоставлению продуктов питания и напитков </w:t>
      </w:r>
    </w:p>
    <w:p w:rsidR="000977EB" w:rsidRDefault="000977EB" w:rsidP="00423C51">
      <w:pPr>
        <w:ind w:firstLine="851"/>
        <w:jc w:val="both"/>
      </w:pPr>
    </w:p>
    <w:p w:rsidR="00423C51" w:rsidRPr="00242964" w:rsidRDefault="00423C51" w:rsidP="009C4BBC">
      <w:pPr>
        <w:ind w:firstLine="709"/>
        <w:jc w:val="both"/>
      </w:pPr>
      <w:r w:rsidRPr="00242964">
        <w:t xml:space="preserve">Статус данных территорий позволяет применять значительные </w:t>
      </w:r>
      <w:r w:rsidRPr="00773D3C">
        <w:rPr>
          <w:b/>
        </w:rPr>
        <w:t>налоговые преференции</w:t>
      </w:r>
      <w:r w:rsidRPr="00242964">
        <w:t>, а именно, предполагает обнуление ставок по земельному налогу и налогу на имущество, снижение ставки налога на прибыль до 5%, уменьшение страховых взносов в государственные внебюджетные фонды в 4 раза.</w:t>
      </w:r>
    </w:p>
    <w:p w:rsidR="00423C51" w:rsidRDefault="00423C51" w:rsidP="004B6CA4">
      <w:pPr>
        <w:ind w:firstLine="709"/>
        <w:jc w:val="both"/>
      </w:pPr>
    </w:p>
    <w:p w:rsidR="00276DF0" w:rsidRDefault="00276DF0" w:rsidP="004B6CA4">
      <w:pPr>
        <w:ind w:firstLine="709"/>
        <w:jc w:val="both"/>
        <w:rPr>
          <w:b/>
          <w:bCs/>
        </w:rPr>
      </w:pPr>
      <w:r w:rsidRPr="00276DF0">
        <w:rPr>
          <w:b/>
          <w:bCs/>
        </w:rPr>
        <w:t>Преимущества моногорода Кондопога</w:t>
      </w:r>
      <w:r>
        <w:rPr>
          <w:b/>
          <w:bCs/>
        </w:rPr>
        <w:t>:</w:t>
      </w:r>
    </w:p>
    <w:p w:rsidR="007B7FC7" w:rsidRPr="00276DF0" w:rsidRDefault="00EA35BA" w:rsidP="00276DF0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276DF0">
        <w:rPr>
          <w:bCs/>
        </w:rPr>
        <w:t>Транспортная доступность</w:t>
      </w:r>
    </w:p>
    <w:p w:rsidR="007B7FC7" w:rsidRPr="00276DF0" w:rsidRDefault="00EA35BA" w:rsidP="00276DF0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276DF0">
        <w:rPr>
          <w:bCs/>
        </w:rPr>
        <w:t>Коммунальная инфраструктура (в т.ч. природный газ)</w:t>
      </w:r>
    </w:p>
    <w:p w:rsidR="007B7FC7" w:rsidRPr="00276DF0" w:rsidRDefault="00EA35BA" w:rsidP="00276DF0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276DF0">
        <w:rPr>
          <w:bCs/>
        </w:rPr>
        <w:t>Наличие уникальных видов природного сырья</w:t>
      </w:r>
    </w:p>
    <w:p w:rsidR="007B7FC7" w:rsidRPr="00276DF0" w:rsidRDefault="00EA35BA" w:rsidP="00276DF0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276DF0">
        <w:rPr>
          <w:bCs/>
        </w:rPr>
        <w:t xml:space="preserve">Квалифицированные трудовые ресурсы </w:t>
      </w:r>
    </w:p>
    <w:p w:rsidR="007B7FC7" w:rsidRPr="00276DF0" w:rsidRDefault="00EA35BA" w:rsidP="00276DF0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276DF0">
        <w:rPr>
          <w:bCs/>
        </w:rPr>
        <w:t>Развитая сфера обслуживания</w:t>
      </w:r>
    </w:p>
    <w:p w:rsidR="00276DF0" w:rsidRPr="00276DF0" w:rsidRDefault="00276DF0" w:rsidP="00276DF0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276DF0">
        <w:rPr>
          <w:bCs/>
        </w:rPr>
        <w:t>Культурно-историческое наследие (развитие нескольких видов туризма</w:t>
      </w:r>
      <w:proofErr w:type="gramEnd"/>
    </w:p>
    <w:p w:rsidR="00276DF0" w:rsidRPr="00424B24" w:rsidRDefault="00276DF0" w:rsidP="004B6CA4">
      <w:pPr>
        <w:ind w:firstLine="709"/>
        <w:jc w:val="both"/>
      </w:pPr>
    </w:p>
    <w:p w:rsidR="003011A8" w:rsidRPr="00424B24" w:rsidRDefault="003011A8" w:rsidP="004B6CA4">
      <w:pPr>
        <w:pStyle w:val="a6"/>
        <w:spacing w:after="0"/>
        <w:ind w:firstLine="709"/>
        <w:jc w:val="both"/>
      </w:pPr>
      <w:r w:rsidRPr="00424B24">
        <w:t xml:space="preserve">В течение 2018 года на территории г. Кондопога </w:t>
      </w:r>
      <w:r w:rsidRPr="00424B24">
        <w:rPr>
          <w:b/>
        </w:rPr>
        <w:t>зарегистрированы 2 резидента ТОСЭР</w:t>
      </w:r>
      <w:r w:rsidRPr="00424B24">
        <w:t xml:space="preserve">: </w:t>
      </w:r>
    </w:p>
    <w:p w:rsidR="003011A8" w:rsidRPr="00585B45" w:rsidRDefault="003011A8" w:rsidP="004B6CA4">
      <w:pPr>
        <w:ind w:firstLine="709"/>
        <w:jc w:val="both"/>
        <w:rPr>
          <w:b/>
        </w:rPr>
      </w:pPr>
      <w:r w:rsidRPr="00424B24">
        <w:t xml:space="preserve">2 июля 2018 года Министерство экономического развития Российской Федерации внесло запись об  </w:t>
      </w:r>
      <w:r w:rsidRPr="00424B24">
        <w:rPr>
          <w:b/>
        </w:rPr>
        <w:t>ООО «</w:t>
      </w:r>
      <w:proofErr w:type="spellStart"/>
      <w:r w:rsidRPr="00424B24">
        <w:rPr>
          <w:b/>
        </w:rPr>
        <w:t>Кондопожский</w:t>
      </w:r>
      <w:proofErr w:type="spellEnd"/>
      <w:r w:rsidRPr="00424B24">
        <w:rPr>
          <w:b/>
        </w:rPr>
        <w:t xml:space="preserve"> лесопильно-экспортный завод - </w:t>
      </w:r>
      <w:proofErr w:type="spellStart"/>
      <w:r w:rsidRPr="00424B24">
        <w:rPr>
          <w:b/>
        </w:rPr>
        <w:t>Астар</w:t>
      </w:r>
      <w:proofErr w:type="spellEnd"/>
      <w:r w:rsidRPr="00424B24">
        <w:rPr>
          <w:b/>
        </w:rPr>
        <w:t>»</w:t>
      </w:r>
      <w:r w:rsidRPr="00424B24">
        <w:t xml:space="preserve"> в реестр резидентов ТОСЭР, созданных на территории </w:t>
      </w:r>
      <w:proofErr w:type="spellStart"/>
      <w:r w:rsidRPr="00424B24">
        <w:t>монопрофильных</w:t>
      </w:r>
      <w:proofErr w:type="spellEnd"/>
      <w:r w:rsidRPr="00424B24">
        <w:t xml:space="preserve"> муниципальных образований. Реализация проекта </w:t>
      </w:r>
      <w:r w:rsidRPr="00424B24">
        <w:rPr>
          <w:color w:val="000000"/>
        </w:rPr>
        <w:t xml:space="preserve">«Расширение действующего производства, увеличение объемов производства и количества переделов лесопереработки» </w:t>
      </w:r>
      <w:r w:rsidRPr="00424B24">
        <w:t xml:space="preserve">позволит создать </w:t>
      </w:r>
      <w:r w:rsidRPr="00585B45">
        <w:rPr>
          <w:b/>
        </w:rPr>
        <w:t>50 новых рабочих мест и привлечь 265 млн. руб. инвестиций.</w:t>
      </w:r>
    </w:p>
    <w:p w:rsidR="003011A8" w:rsidRPr="00585B45" w:rsidRDefault="003011A8" w:rsidP="004B6CA4">
      <w:pPr>
        <w:ind w:firstLine="709"/>
        <w:jc w:val="both"/>
        <w:rPr>
          <w:b/>
        </w:rPr>
      </w:pPr>
      <w:r w:rsidRPr="00424B24">
        <w:lastRenderedPageBreak/>
        <w:t xml:space="preserve">2 ноября 2018 года Министерство экономического развития Российской Федерации внесло запись об  </w:t>
      </w:r>
      <w:r w:rsidRPr="00424B24">
        <w:rPr>
          <w:b/>
        </w:rPr>
        <w:t xml:space="preserve">ООО «Туристическая компания «Карелия-Тур» </w:t>
      </w:r>
      <w:r w:rsidRPr="00424B24">
        <w:t xml:space="preserve">в реестр резидентов ТОСЭР, созданных на территории </w:t>
      </w:r>
      <w:proofErr w:type="spellStart"/>
      <w:r w:rsidRPr="00424B24">
        <w:t>монопрофильных</w:t>
      </w:r>
      <w:proofErr w:type="spellEnd"/>
      <w:r w:rsidRPr="00424B24">
        <w:t xml:space="preserve"> муниципальных образований. Реализация проекта «Международный центр народно-художественных промыслов «Национальная деревня» позволит создать </w:t>
      </w:r>
      <w:r w:rsidRPr="00585B45">
        <w:rPr>
          <w:b/>
        </w:rPr>
        <w:t>47 новых рабочих мест и привлечь 215 млн. руб. инвестиций.</w:t>
      </w:r>
    </w:p>
    <w:p w:rsidR="003011A8" w:rsidRPr="00424B24" w:rsidRDefault="003011A8" w:rsidP="004B6CA4">
      <w:pPr>
        <w:ind w:firstLine="709"/>
        <w:jc w:val="both"/>
      </w:pPr>
      <w:r w:rsidRPr="00424B24">
        <w:t>Готов</w:t>
      </w:r>
      <w:r w:rsidR="00B7538C">
        <w:t>я</w:t>
      </w:r>
      <w:r w:rsidRPr="00424B24">
        <w:t>т заявку для включения в реестр резидентов Т</w:t>
      </w:r>
      <w:r w:rsidR="00B7538C">
        <w:t xml:space="preserve">ОСЭР – </w:t>
      </w:r>
      <w:r w:rsidR="00B7538C" w:rsidRPr="00A65847">
        <w:rPr>
          <w:b/>
        </w:rPr>
        <w:t xml:space="preserve">ООО «Рыботорговая сеть» и ООО «Группа «Баренц», </w:t>
      </w:r>
      <w:r w:rsidRPr="00A65847">
        <w:rPr>
          <w:b/>
        </w:rPr>
        <w:t>проект</w:t>
      </w:r>
      <w:r w:rsidRPr="00424B24">
        <w:t xml:space="preserve"> «</w:t>
      </w:r>
      <w:r w:rsidRPr="00424B24">
        <w:rPr>
          <w:color w:val="000000"/>
        </w:rPr>
        <w:t xml:space="preserve">Строительство </w:t>
      </w:r>
      <w:proofErr w:type="spellStart"/>
      <w:r w:rsidRPr="00424B24">
        <w:rPr>
          <w:color w:val="000000"/>
        </w:rPr>
        <w:t>рыбоперерабатывающего</w:t>
      </w:r>
      <w:proofErr w:type="spellEnd"/>
      <w:r w:rsidRPr="00424B24">
        <w:rPr>
          <w:color w:val="000000"/>
        </w:rPr>
        <w:t xml:space="preserve"> завода» </w:t>
      </w:r>
      <w:r w:rsidRPr="00424B24">
        <w:t xml:space="preserve">позволит создать </w:t>
      </w:r>
      <w:r w:rsidRPr="007B13BC">
        <w:rPr>
          <w:b/>
        </w:rPr>
        <w:t>9</w:t>
      </w:r>
      <w:r w:rsidR="00B36B91" w:rsidRPr="007B13BC">
        <w:rPr>
          <w:b/>
        </w:rPr>
        <w:t>6</w:t>
      </w:r>
      <w:r w:rsidRPr="007B13BC">
        <w:rPr>
          <w:b/>
        </w:rPr>
        <w:t xml:space="preserve"> новых рабочих мест</w:t>
      </w:r>
      <w:r w:rsidR="000801C2" w:rsidRPr="007B13BC">
        <w:rPr>
          <w:b/>
        </w:rPr>
        <w:t>, 758,0 млн. руб. инвестиций</w:t>
      </w:r>
      <w:r w:rsidRPr="00424B24">
        <w:t>.</w:t>
      </w:r>
    </w:p>
    <w:p w:rsidR="00D16B1E" w:rsidRPr="00852D38" w:rsidRDefault="00D16B1E" w:rsidP="004B6CA4">
      <w:pPr>
        <w:ind w:firstLine="709"/>
        <w:jc w:val="both"/>
        <w:rPr>
          <w:b/>
          <w:bCs/>
        </w:rPr>
      </w:pPr>
      <w:r w:rsidRPr="00852D38">
        <w:rPr>
          <w:b/>
          <w:bCs/>
        </w:rPr>
        <w:t>П</w:t>
      </w:r>
      <w:r w:rsidR="00424B24" w:rsidRPr="00852D38">
        <w:rPr>
          <w:b/>
          <w:bCs/>
        </w:rPr>
        <w:t>ланиру</w:t>
      </w:r>
      <w:r w:rsidRPr="00852D38">
        <w:rPr>
          <w:b/>
          <w:bCs/>
        </w:rPr>
        <w:t>ют реализацию</w:t>
      </w:r>
      <w:r w:rsidR="00424B24" w:rsidRPr="00852D38">
        <w:rPr>
          <w:b/>
          <w:bCs/>
        </w:rPr>
        <w:t xml:space="preserve"> инвестиционных проектов</w:t>
      </w:r>
      <w:r w:rsidRPr="00852D38">
        <w:rPr>
          <w:b/>
          <w:bCs/>
        </w:rPr>
        <w:t xml:space="preserve"> в моногороде Кондопога</w:t>
      </w:r>
      <w:r w:rsidR="00424B24" w:rsidRPr="00852D38">
        <w:rPr>
          <w:b/>
          <w:bCs/>
        </w:rPr>
        <w:t>:</w:t>
      </w:r>
    </w:p>
    <w:p w:rsidR="00852D38" w:rsidRPr="00852D38" w:rsidRDefault="00424B24" w:rsidP="003D522F">
      <w:pPr>
        <w:numPr>
          <w:ilvl w:val="0"/>
          <w:numId w:val="3"/>
        </w:numPr>
        <w:ind w:left="0" w:firstLine="709"/>
        <w:jc w:val="both"/>
      </w:pPr>
      <w:r w:rsidRPr="00B31545">
        <w:rPr>
          <w:b/>
        </w:rPr>
        <w:t>ООО «Завод экстрактов</w:t>
      </w:r>
      <w:r w:rsidR="00D16B1E" w:rsidRPr="00B31545">
        <w:rPr>
          <w:b/>
        </w:rPr>
        <w:t>.</w:t>
      </w:r>
      <w:r w:rsidRPr="00B31545">
        <w:rPr>
          <w:b/>
        </w:rPr>
        <w:t xml:space="preserve"> </w:t>
      </w:r>
      <w:proofErr w:type="spellStart"/>
      <w:r w:rsidRPr="00B31545">
        <w:rPr>
          <w:b/>
        </w:rPr>
        <w:t>Заготпром</w:t>
      </w:r>
      <w:proofErr w:type="spellEnd"/>
      <w:r w:rsidRPr="00B31545">
        <w:rPr>
          <w:b/>
        </w:rPr>
        <w:t>»</w:t>
      </w:r>
      <w:r w:rsidR="00852D38">
        <w:t>, проект</w:t>
      </w:r>
      <w:r w:rsidR="00852D38" w:rsidRPr="00476757">
        <w:rPr>
          <w:rFonts w:ascii="Arial" w:eastAsia="Microsoft YaHei" w:hAnsi="Arial" w:cstheme="minorBidi"/>
          <w:color w:val="000000" w:themeColor="text1"/>
          <w:kern w:val="24"/>
          <w:sz w:val="28"/>
          <w:szCs w:val="28"/>
          <w:lang w:eastAsia="ru-RU"/>
        </w:rPr>
        <w:t xml:space="preserve"> «</w:t>
      </w:r>
      <w:r w:rsidR="00EA35BA" w:rsidRPr="00852D38">
        <w:t xml:space="preserve">Строительство завода по производству стандартизированных экстрактов из дикорастущих ягод </w:t>
      </w:r>
      <w:r w:rsidR="00852D38" w:rsidRPr="00852D38">
        <w:t>и ягодных соков</w:t>
      </w:r>
      <w:r w:rsidR="00852D38">
        <w:t xml:space="preserve">». </w:t>
      </w:r>
      <w:r w:rsidR="00852D38" w:rsidRPr="00852D38">
        <w:t xml:space="preserve">Объем инвестиций - </w:t>
      </w:r>
      <w:r w:rsidR="00852D38" w:rsidRPr="00476757">
        <w:rPr>
          <w:b/>
          <w:bCs/>
        </w:rPr>
        <w:t xml:space="preserve">600 млн. руб. </w:t>
      </w:r>
      <w:r w:rsidR="00852D38" w:rsidRPr="00852D38">
        <w:t xml:space="preserve">Количество рабочих мест – </w:t>
      </w:r>
      <w:r w:rsidR="00852D38" w:rsidRPr="00476757">
        <w:rPr>
          <w:b/>
          <w:bCs/>
        </w:rPr>
        <w:t>60</w:t>
      </w:r>
    </w:p>
    <w:p w:rsidR="00D16B1E" w:rsidRDefault="00D16B1E" w:rsidP="003D522F">
      <w:pPr>
        <w:ind w:firstLine="709"/>
        <w:jc w:val="both"/>
      </w:pPr>
    </w:p>
    <w:p w:rsidR="00852D38" w:rsidRPr="00852D38" w:rsidRDefault="00424B24" w:rsidP="003D522F">
      <w:pPr>
        <w:numPr>
          <w:ilvl w:val="0"/>
          <w:numId w:val="4"/>
        </w:numPr>
        <w:ind w:left="0" w:firstLine="709"/>
        <w:jc w:val="both"/>
      </w:pPr>
      <w:r w:rsidRPr="00B31545">
        <w:rPr>
          <w:b/>
        </w:rPr>
        <w:t>ООО «Рыба Карелии»</w:t>
      </w:r>
      <w:r w:rsidR="00852D38">
        <w:t>, проект</w:t>
      </w:r>
      <w:r w:rsidR="00852D38" w:rsidRPr="003D522F">
        <w:rPr>
          <w:rFonts w:ascii="Arial" w:eastAsia="Microsoft YaHei" w:hAnsi="Arial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52D38" w:rsidRPr="003D522F">
        <w:rPr>
          <w:rFonts w:eastAsia="Microsoft YaHei"/>
          <w:color w:val="000000" w:themeColor="text1"/>
          <w:kern w:val="24"/>
          <w:lang w:eastAsia="ru-RU"/>
        </w:rPr>
        <w:t>«С</w:t>
      </w:r>
      <w:r w:rsidR="00EA35BA" w:rsidRPr="00852D38">
        <w:t>троительство завода по полной переработке: разделка, копчение, вяление, изготовление других изделий из рыбы, выращиванию и реали</w:t>
      </w:r>
      <w:r w:rsidR="002A150A">
        <w:t xml:space="preserve">зации рыбной и прочей продукции». </w:t>
      </w:r>
      <w:r w:rsidR="00852D38" w:rsidRPr="00852D38">
        <w:t xml:space="preserve">Объем инвестиций – </w:t>
      </w:r>
      <w:r w:rsidR="00852D38" w:rsidRPr="003D522F">
        <w:rPr>
          <w:b/>
          <w:bCs/>
        </w:rPr>
        <w:t>245,0 млн. руб</w:t>
      </w:r>
      <w:r w:rsidR="00852D38" w:rsidRPr="00852D38">
        <w:t>.</w:t>
      </w:r>
      <w:r w:rsidR="003D522F">
        <w:t xml:space="preserve"> </w:t>
      </w:r>
      <w:r w:rsidR="00852D38" w:rsidRPr="00852D38">
        <w:t>Количество рабочих мест –</w:t>
      </w:r>
      <w:r w:rsidR="00852D38" w:rsidRPr="003D522F">
        <w:rPr>
          <w:b/>
          <w:bCs/>
        </w:rPr>
        <w:t xml:space="preserve"> 50</w:t>
      </w:r>
    </w:p>
    <w:p w:rsidR="00424B24" w:rsidRDefault="00424B24" w:rsidP="004B6CA4">
      <w:pPr>
        <w:ind w:firstLine="709"/>
        <w:jc w:val="both"/>
      </w:pPr>
    </w:p>
    <w:p w:rsidR="001C643D" w:rsidRPr="00412E0A" w:rsidRDefault="001C643D" w:rsidP="004B6CA4">
      <w:pPr>
        <w:ind w:firstLine="709"/>
        <w:jc w:val="both"/>
        <w:rPr>
          <w:b/>
        </w:rPr>
      </w:pPr>
      <w:r w:rsidRPr="00412E0A">
        <w:rPr>
          <w:b/>
        </w:rPr>
        <w:t>Отсутствуют инвестиционные проекты по следующим видам деятельности:</w:t>
      </w:r>
    </w:p>
    <w:p w:rsidR="00412E0A" w:rsidRPr="00B93178" w:rsidRDefault="00412E0A" w:rsidP="00412E0A">
      <w:pPr>
        <w:ind w:firstLine="709"/>
        <w:jc w:val="both"/>
        <w:rPr>
          <w:b/>
          <w:bCs/>
        </w:rPr>
      </w:pPr>
      <w:r w:rsidRPr="00EA0A98">
        <w:rPr>
          <w:bCs/>
        </w:rPr>
        <w:t>23. Производство прочей неметаллической минеральной продукции</w:t>
      </w:r>
      <w:r>
        <w:rPr>
          <w:bCs/>
        </w:rPr>
        <w:t xml:space="preserve"> </w:t>
      </w:r>
      <w:r w:rsidRPr="00B93178">
        <w:rPr>
          <w:b/>
          <w:bCs/>
        </w:rPr>
        <w:t>(камнеобработка)</w:t>
      </w:r>
    </w:p>
    <w:p w:rsidR="00412E0A" w:rsidRPr="00412E0A" w:rsidRDefault="00412E0A" w:rsidP="00412E0A">
      <w:pPr>
        <w:ind w:firstLine="709"/>
        <w:jc w:val="both"/>
        <w:rPr>
          <w:bCs/>
        </w:rPr>
      </w:pPr>
      <w:r w:rsidRPr="00412E0A">
        <w:rPr>
          <w:b/>
          <w:bCs/>
        </w:rPr>
        <w:t>Причина:</w:t>
      </w:r>
      <w:r>
        <w:rPr>
          <w:bCs/>
        </w:rPr>
        <w:t xml:space="preserve"> </w:t>
      </w:r>
      <w:r w:rsidRPr="00412E0A">
        <w:rPr>
          <w:bCs/>
        </w:rPr>
        <w:t>Особый правовой режим территории ТОСЭР только для общей системы налогообложения (экономически не выгодно для малых и микро предприятий)</w:t>
      </w:r>
    </w:p>
    <w:p w:rsidR="00412E0A" w:rsidRPr="00EA0A98" w:rsidRDefault="00412E0A" w:rsidP="00412E0A">
      <w:pPr>
        <w:ind w:firstLine="709"/>
        <w:jc w:val="both"/>
      </w:pPr>
      <w:r w:rsidRPr="00EA0A98">
        <w:rPr>
          <w:bCs/>
        </w:rPr>
        <w:t xml:space="preserve"> </w:t>
      </w:r>
    </w:p>
    <w:p w:rsidR="00412E0A" w:rsidRPr="00B93178" w:rsidRDefault="00412E0A" w:rsidP="00412E0A">
      <w:pPr>
        <w:ind w:firstLine="709"/>
        <w:jc w:val="both"/>
        <w:rPr>
          <w:b/>
          <w:bCs/>
        </w:rPr>
      </w:pPr>
      <w:r w:rsidRPr="00EA0A98">
        <w:rPr>
          <w:bCs/>
        </w:rPr>
        <w:t xml:space="preserve">38.32.5 Обработка вторичного неметаллического сырья </w:t>
      </w:r>
      <w:r w:rsidRPr="00B93178">
        <w:rPr>
          <w:b/>
          <w:bCs/>
        </w:rPr>
        <w:t>(переработка мусора)</w:t>
      </w:r>
    </w:p>
    <w:p w:rsidR="00412E0A" w:rsidRPr="00412E0A" w:rsidRDefault="00412E0A" w:rsidP="00412E0A">
      <w:pPr>
        <w:ind w:firstLine="709"/>
        <w:jc w:val="both"/>
        <w:rPr>
          <w:bCs/>
        </w:rPr>
      </w:pPr>
      <w:r w:rsidRPr="00412E0A">
        <w:rPr>
          <w:b/>
          <w:bCs/>
        </w:rPr>
        <w:t>Причина:</w:t>
      </w:r>
      <w:r>
        <w:rPr>
          <w:bCs/>
        </w:rPr>
        <w:t xml:space="preserve"> </w:t>
      </w:r>
      <w:r w:rsidRPr="00412E0A">
        <w:rPr>
          <w:bCs/>
        </w:rPr>
        <w:t>Отрицательное отношение граждан и общественных организаций</w:t>
      </w:r>
    </w:p>
    <w:p w:rsidR="00412E0A" w:rsidRPr="00EA0A98" w:rsidRDefault="00412E0A" w:rsidP="00412E0A">
      <w:pPr>
        <w:ind w:firstLine="709"/>
        <w:jc w:val="both"/>
      </w:pPr>
    </w:p>
    <w:p w:rsidR="00D069D1" w:rsidRDefault="00D069D1" w:rsidP="00D069D1">
      <w:pPr>
        <w:ind w:firstLine="709"/>
        <w:jc w:val="both"/>
        <w:rPr>
          <w:b/>
          <w:bCs/>
        </w:rPr>
      </w:pPr>
      <w:r w:rsidRPr="00D069D1">
        <w:rPr>
          <w:b/>
          <w:bCs/>
        </w:rPr>
        <w:t>Факторы, сдерживающие реализацию инвестиционных проектов</w:t>
      </w:r>
      <w:r>
        <w:rPr>
          <w:b/>
          <w:bCs/>
        </w:rPr>
        <w:t>:</w:t>
      </w:r>
    </w:p>
    <w:p w:rsidR="00D069D1" w:rsidRPr="00D069D1" w:rsidRDefault="00D069D1" w:rsidP="00982A2A">
      <w:pPr>
        <w:pStyle w:val="aa"/>
        <w:numPr>
          <w:ilvl w:val="0"/>
          <w:numId w:val="5"/>
        </w:numPr>
        <w:ind w:left="0" w:firstLine="709"/>
        <w:jc w:val="both"/>
      </w:pPr>
      <w:r w:rsidRPr="00D069D1">
        <w:t>Высокие тарифы естественных монополий на старте бизнеса и на периоде становления, отсутствие диверсификации</w:t>
      </w:r>
    </w:p>
    <w:p w:rsidR="00D069D1" w:rsidRPr="00D069D1" w:rsidRDefault="00D069D1" w:rsidP="00982A2A">
      <w:pPr>
        <w:pStyle w:val="aa"/>
        <w:numPr>
          <w:ilvl w:val="0"/>
          <w:numId w:val="5"/>
        </w:numPr>
        <w:ind w:left="0" w:firstLine="709"/>
        <w:jc w:val="both"/>
      </w:pPr>
      <w:r w:rsidRPr="00D069D1">
        <w:t>Проблемы перевода земельных участков из одной категории в другую (земли лесного фонда)</w:t>
      </w:r>
    </w:p>
    <w:p w:rsidR="00D069D1" w:rsidRPr="00D069D1" w:rsidRDefault="00D069D1" w:rsidP="00982A2A">
      <w:pPr>
        <w:pStyle w:val="aa"/>
        <w:numPr>
          <w:ilvl w:val="0"/>
          <w:numId w:val="5"/>
        </w:numPr>
        <w:ind w:left="0" w:firstLine="709"/>
        <w:jc w:val="both"/>
      </w:pPr>
      <w:r w:rsidRPr="00D069D1">
        <w:t>Длительный  временной интервал при получении согласований,  технических возможностей, получении разрешений и допусков</w:t>
      </w:r>
    </w:p>
    <w:p w:rsidR="00D069D1" w:rsidRPr="00D069D1" w:rsidRDefault="00D069D1" w:rsidP="00982A2A">
      <w:pPr>
        <w:pStyle w:val="aa"/>
        <w:numPr>
          <w:ilvl w:val="0"/>
          <w:numId w:val="5"/>
        </w:numPr>
        <w:ind w:left="0" w:firstLine="709"/>
        <w:jc w:val="both"/>
      </w:pPr>
      <w:r w:rsidRPr="00D069D1">
        <w:t>Невозможность выстраивания четкой инфраструктуры на старте бизнеса (площадки не приспособлены к старту, необходимы дополнительные согласования, финансовые затраты на развитие инфраструктуры)</w:t>
      </w:r>
    </w:p>
    <w:p w:rsidR="00D069D1" w:rsidRPr="00D069D1" w:rsidRDefault="00D069D1" w:rsidP="00982A2A">
      <w:pPr>
        <w:pStyle w:val="aa"/>
        <w:numPr>
          <w:ilvl w:val="0"/>
          <w:numId w:val="5"/>
        </w:numPr>
        <w:ind w:left="0" w:firstLine="709"/>
        <w:jc w:val="both"/>
      </w:pPr>
      <w:r w:rsidRPr="00D069D1">
        <w:t>Сложные условия получения государственной поддержки</w:t>
      </w:r>
    </w:p>
    <w:p w:rsidR="00D069D1" w:rsidRPr="00D069D1" w:rsidRDefault="00D069D1" w:rsidP="00982A2A">
      <w:pPr>
        <w:pStyle w:val="aa"/>
        <w:numPr>
          <w:ilvl w:val="0"/>
          <w:numId w:val="5"/>
        </w:numPr>
        <w:ind w:left="0" w:firstLine="709"/>
        <w:jc w:val="both"/>
      </w:pPr>
      <w:r w:rsidRPr="00D069D1">
        <w:t xml:space="preserve">Особый правовой режим территории ТОСЭР только для общей системы налогообложения (экономически не выгодно для субъектов МСП на специальных режимах налогообложения)  </w:t>
      </w:r>
    </w:p>
    <w:p w:rsidR="00D069D1" w:rsidRPr="00D069D1" w:rsidRDefault="00D069D1" w:rsidP="00D069D1">
      <w:pPr>
        <w:ind w:firstLine="709"/>
        <w:jc w:val="both"/>
      </w:pPr>
    </w:p>
    <w:p w:rsidR="003011A8" w:rsidRDefault="007869B3">
      <w:pPr>
        <w:rPr>
          <w:b/>
          <w:u w:val="single"/>
        </w:rPr>
      </w:pPr>
      <w:r w:rsidRPr="004865E5">
        <w:rPr>
          <w:b/>
          <w:u w:val="single"/>
        </w:rPr>
        <w:t>Приглашаем к сотрудничеству:</w:t>
      </w:r>
    </w:p>
    <w:p w:rsidR="00D1286F" w:rsidRPr="004865E5" w:rsidRDefault="00D1286F">
      <w:pPr>
        <w:rPr>
          <w:b/>
          <w:u w:val="single"/>
        </w:rPr>
      </w:pPr>
      <w:bookmarkStart w:id="0" w:name="_GoBack"/>
      <w:bookmarkEnd w:id="0"/>
    </w:p>
    <w:p w:rsidR="007869B3" w:rsidRPr="007869B3" w:rsidRDefault="007869B3" w:rsidP="007869B3">
      <w:r w:rsidRPr="007869B3">
        <w:rPr>
          <w:bCs/>
          <w:u w:val="single"/>
        </w:rPr>
        <w:t xml:space="preserve">Глава Администрации </w:t>
      </w:r>
      <w:proofErr w:type="spellStart"/>
      <w:r w:rsidRPr="007869B3">
        <w:rPr>
          <w:bCs/>
          <w:u w:val="single"/>
        </w:rPr>
        <w:t>Кондопожского</w:t>
      </w:r>
      <w:proofErr w:type="spellEnd"/>
      <w:r w:rsidRPr="007869B3">
        <w:rPr>
          <w:bCs/>
          <w:u w:val="single"/>
        </w:rPr>
        <w:t xml:space="preserve"> муниципального района</w:t>
      </w:r>
      <w:r w:rsidRPr="007869B3">
        <w:rPr>
          <w:b/>
          <w:bCs/>
        </w:rPr>
        <w:t xml:space="preserve"> – Садовников Виталий Михайлович</w:t>
      </w:r>
    </w:p>
    <w:p w:rsidR="007869B3" w:rsidRPr="007869B3" w:rsidRDefault="007869B3" w:rsidP="007869B3">
      <w:r w:rsidRPr="007869B3">
        <w:rPr>
          <w:b/>
          <w:bCs/>
        </w:rPr>
        <w:t>Тел. 8-964-317-83-54</w:t>
      </w:r>
    </w:p>
    <w:p w:rsidR="007869B3" w:rsidRPr="007869B3" w:rsidRDefault="007869B3" w:rsidP="007869B3">
      <w:r w:rsidRPr="007869B3">
        <w:rPr>
          <w:b/>
          <w:bCs/>
        </w:rPr>
        <w:t>Эл</w:t>
      </w:r>
      <w:proofErr w:type="gramStart"/>
      <w:r w:rsidRPr="007869B3">
        <w:rPr>
          <w:b/>
          <w:bCs/>
        </w:rPr>
        <w:t>.</w:t>
      </w:r>
      <w:proofErr w:type="gramEnd"/>
      <w:r w:rsidRPr="007869B3">
        <w:rPr>
          <w:b/>
          <w:bCs/>
        </w:rPr>
        <w:t xml:space="preserve"> </w:t>
      </w:r>
      <w:proofErr w:type="gramStart"/>
      <w:r w:rsidRPr="007869B3">
        <w:rPr>
          <w:b/>
          <w:bCs/>
        </w:rPr>
        <w:t>п</w:t>
      </w:r>
      <w:proofErr w:type="gramEnd"/>
      <w:r w:rsidRPr="007869B3">
        <w:rPr>
          <w:b/>
          <w:bCs/>
        </w:rPr>
        <w:t xml:space="preserve">очта: </w:t>
      </w:r>
      <w:proofErr w:type="spellStart"/>
      <w:r w:rsidRPr="007869B3">
        <w:rPr>
          <w:b/>
          <w:bCs/>
          <w:lang w:val="en-US"/>
        </w:rPr>
        <w:t>svm</w:t>
      </w:r>
      <w:proofErr w:type="spellEnd"/>
      <w:r w:rsidRPr="007869B3">
        <w:rPr>
          <w:b/>
          <w:bCs/>
        </w:rPr>
        <w:t>@</w:t>
      </w:r>
      <w:proofErr w:type="spellStart"/>
      <w:r w:rsidRPr="007869B3">
        <w:rPr>
          <w:b/>
          <w:bCs/>
          <w:lang w:val="en-US"/>
        </w:rPr>
        <w:t>kmr</w:t>
      </w:r>
      <w:proofErr w:type="spellEnd"/>
      <w:r w:rsidRPr="007869B3">
        <w:rPr>
          <w:b/>
          <w:bCs/>
        </w:rPr>
        <w:t>10.</w:t>
      </w:r>
      <w:proofErr w:type="spellStart"/>
      <w:r w:rsidRPr="007869B3">
        <w:rPr>
          <w:b/>
          <w:bCs/>
          <w:lang w:val="en-US"/>
        </w:rPr>
        <w:t>ru</w:t>
      </w:r>
      <w:proofErr w:type="spellEnd"/>
    </w:p>
    <w:p w:rsidR="007869B3" w:rsidRPr="007869B3" w:rsidRDefault="007869B3" w:rsidP="007869B3">
      <w:r w:rsidRPr="007869B3">
        <w:rPr>
          <w:bCs/>
          <w:u w:val="single"/>
        </w:rPr>
        <w:t>Инвестиционный уполномоченный</w:t>
      </w:r>
      <w:r w:rsidRPr="007869B3">
        <w:rPr>
          <w:b/>
          <w:bCs/>
        </w:rPr>
        <w:t xml:space="preserve"> – Баринова Наталья Валерьевна </w:t>
      </w:r>
    </w:p>
    <w:p w:rsidR="007869B3" w:rsidRPr="007869B3" w:rsidRDefault="007869B3" w:rsidP="007869B3">
      <w:r w:rsidRPr="007869B3">
        <w:rPr>
          <w:b/>
          <w:bCs/>
        </w:rPr>
        <w:t>Тел. 8-964-317-83-30</w:t>
      </w:r>
    </w:p>
    <w:p w:rsidR="003C5ECD" w:rsidRDefault="007869B3">
      <w:r w:rsidRPr="007869B3">
        <w:rPr>
          <w:b/>
          <w:bCs/>
        </w:rPr>
        <w:t>Эл</w:t>
      </w:r>
      <w:proofErr w:type="gramStart"/>
      <w:r w:rsidRPr="007869B3">
        <w:rPr>
          <w:b/>
          <w:bCs/>
        </w:rPr>
        <w:t>.</w:t>
      </w:r>
      <w:proofErr w:type="gramEnd"/>
      <w:r w:rsidRPr="007869B3">
        <w:rPr>
          <w:b/>
          <w:bCs/>
        </w:rPr>
        <w:t xml:space="preserve"> </w:t>
      </w:r>
      <w:proofErr w:type="gramStart"/>
      <w:r w:rsidRPr="007869B3">
        <w:rPr>
          <w:b/>
          <w:bCs/>
        </w:rPr>
        <w:t>п</w:t>
      </w:r>
      <w:proofErr w:type="gramEnd"/>
      <w:r w:rsidRPr="007869B3">
        <w:rPr>
          <w:b/>
          <w:bCs/>
        </w:rPr>
        <w:t xml:space="preserve">очта: </w:t>
      </w:r>
      <w:proofErr w:type="spellStart"/>
      <w:r w:rsidRPr="007869B3">
        <w:rPr>
          <w:b/>
          <w:bCs/>
        </w:rPr>
        <w:t>barinova@</w:t>
      </w:r>
      <w:proofErr w:type="spellEnd"/>
      <w:r w:rsidRPr="007869B3">
        <w:rPr>
          <w:b/>
          <w:bCs/>
          <w:lang w:val="en-US"/>
        </w:rPr>
        <w:t>kmr10</w:t>
      </w:r>
      <w:r w:rsidRPr="007869B3">
        <w:rPr>
          <w:b/>
          <w:bCs/>
        </w:rPr>
        <w:t>.</w:t>
      </w:r>
      <w:proofErr w:type="spellStart"/>
      <w:r w:rsidRPr="007869B3">
        <w:rPr>
          <w:b/>
          <w:bCs/>
        </w:rPr>
        <w:t>ru</w:t>
      </w:r>
      <w:proofErr w:type="spellEnd"/>
    </w:p>
    <w:sectPr w:rsidR="003C5ECD" w:rsidSect="007B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47" w:rsidRDefault="004C5F47" w:rsidP="000F02CC">
      <w:r>
        <w:separator/>
      </w:r>
    </w:p>
  </w:endnote>
  <w:endnote w:type="continuationSeparator" w:id="0">
    <w:p w:rsidR="004C5F47" w:rsidRDefault="004C5F47" w:rsidP="000F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47" w:rsidRDefault="004C5F47" w:rsidP="000F02CC">
      <w:r>
        <w:separator/>
      </w:r>
    </w:p>
  </w:footnote>
  <w:footnote w:type="continuationSeparator" w:id="0">
    <w:p w:rsidR="004C5F47" w:rsidRDefault="004C5F47" w:rsidP="000F0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66025"/>
    <w:multiLevelType w:val="hybridMultilevel"/>
    <w:tmpl w:val="803E3AC2"/>
    <w:lvl w:ilvl="0" w:tplc="733895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06F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C1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BD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289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8E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8D8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EF8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224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D2700"/>
    <w:multiLevelType w:val="hybridMultilevel"/>
    <w:tmpl w:val="DADE3914"/>
    <w:lvl w:ilvl="0" w:tplc="181C6D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26F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27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CC1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3A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A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E22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E64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4BD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373F7"/>
    <w:multiLevelType w:val="hybridMultilevel"/>
    <w:tmpl w:val="25686E68"/>
    <w:lvl w:ilvl="0" w:tplc="476C5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51271E"/>
    <w:multiLevelType w:val="hybridMultilevel"/>
    <w:tmpl w:val="A5C4E9C2"/>
    <w:lvl w:ilvl="0" w:tplc="73D8BF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682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0E4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C66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266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A0F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C4E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8BB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4BB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B6097"/>
    <w:multiLevelType w:val="hybridMultilevel"/>
    <w:tmpl w:val="B10EEF62"/>
    <w:lvl w:ilvl="0" w:tplc="134EE66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4FD"/>
    <w:rsid w:val="00027E31"/>
    <w:rsid w:val="00044DE6"/>
    <w:rsid w:val="000801C2"/>
    <w:rsid w:val="00081156"/>
    <w:rsid w:val="000977EB"/>
    <w:rsid w:val="000C24FD"/>
    <w:rsid w:val="000E085C"/>
    <w:rsid w:val="000F02CC"/>
    <w:rsid w:val="000F7E2D"/>
    <w:rsid w:val="001002B7"/>
    <w:rsid w:val="00114B93"/>
    <w:rsid w:val="00142213"/>
    <w:rsid w:val="00143646"/>
    <w:rsid w:val="001C643D"/>
    <w:rsid w:val="001C7963"/>
    <w:rsid w:val="001F03EA"/>
    <w:rsid w:val="002240D0"/>
    <w:rsid w:val="00237A09"/>
    <w:rsid w:val="00262F5E"/>
    <w:rsid w:val="00276DF0"/>
    <w:rsid w:val="002A150A"/>
    <w:rsid w:val="002B0B63"/>
    <w:rsid w:val="002C5615"/>
    <w:rsid w:val="002D06DE"/>
    <w:rsid w:val="002F7D92"/>
    <w:rsid w:val="003011A8"/>
    <w:rsid w:val="003134FC"/>
    <w:rsid w:val="003446CE"/>
    <w:rsid w:val="003450F6"/>
    <w:rsid w:val="003C5ECD"/>
    <w:rsid w:val="003C6979"/>
    <w:rsid w:val="003D522F"/>
    <w:rsid w:val="003F0FD4"/>
    <w:rsid w:val="003F708C"/>
    <w:rsid w:val="004019B7"/>
    <w:rsid w:val="00410E4A"/>
    <w:rsid w:val="00412E0A"/>
    <w:rsid w:val="00423C51"/>
    <w:rsid w:val="00424B24"/>
    <w:rsid w:val="00430D9C"/>
    <w:rsid w:val="00476757"/>
    <w:rsid w:val="004819DB"/>
    <w:rsid w:val="004865E5"/>
    <w:rsid w:val="004A6726"/>
    <w:rsid w:val="004A7F06"/>
    <w:rsid w:val="004B6CA4"/>
    <w:rsid w:val="004C2B7E"/>
    <w:rsid w:val="004C5410"/>
    <w:rsid w:val="004C5F47"/>
    <w:rsid w:val="004F08C3"/>
    <w:rsid w:val="0050024C"/>
    <w:rsid w:val="00517EE4"/>
    <w:rsid w:val="00585B45"/>
    <w:rsid w:val="005B31BB"/>
    <w:rsid w:val="005C0CB4"/>
    <w:rsid w:val="005D2E5D"/>
    <w:rsid w:val="005D71D2"/>
    <w:rsid w:val="00671191"/>
    <w:rsid w:val="00672146"/>
    <w:rsid w:val="00685300"/>
    <w:rsid w:val="006E6646"/>
    <w:rsid w:val="0071017B"/>
    <w:rsid w:val="00720FE5"/>
    <w:rsid w:val="00773D3C"/>
    <w:rsid w:val="007869B3"/>
    <w:rsid w:val="007A570B"/>
    <w:rsid w:val="007B13BC"/>
    <w:rsid w:val="007B7FC7"/>
    <w:rsid w:val="007C1F7E"/>
    <w:rsid w:val="007C4C7F"/>
    <w:rsid w:val="008136D4"/>
    <w:rsid w:val="00830BA5"/>
    <w:rsid w:val="00832A7F"/>
    <w:rsid w:val="00834F79"/>
    <w:rsid w:val="0083691E"/>
    <w:rsid w:val="00852D38"/>
    <w:rsid w:val="00891717"/>
    <w:rsid w:val="008A75DE"/>
    <w:rsid w:val="008B48E0"/>
    <w:rsid w:val="008C320F"/>
    <w:rsid w:val="008E64A1"/>
    <w:rsid w:val="00907FE5"/>
    <w:rsid w:val="00915646"/>
    <w:rsid w:val="00961193"/>
    <w:rsid w:val="009757BF"/>
    <w:rsid w:val="00982A2A"/>
    <w:rsid w:val="00987DCC"/>
    <w:rsid w:val="00992769"/>
    <w:rsid w:val="009A11F3"/>
    <w:rsid w:val="009C4BBC"/>
    <w:rsid w:val="009D51FB"/>
    <w:rsid w:val="009D6A7D"/>
    <w:rsid w:val="00A15693"/>
    <w:rsid w:val="00A20F5A"/>
    <w:rsid w:val="00A527CD"/>
    <w:rsid w:val="00A65847"/>
    <w:rsid w:val="00AE18E8"/>
    <w:rsid w:val="00AF0CDA"/>
    <w:rsid w:val="00B31545"/>
    <w:rsid w:val="00B36B91"/>
    <w:rsid w:val="00B6168C"/>
    <w:rsid w:val="00B640B5"/>
    <w:rsid w:val="00B7538C"/>
    <w:rsid w:val="00B93178"/>
    <w:rsid w:val="00BA3AA4"/>
    <w:rsid w:val="00BE19D3"/>
    <w:rsid w:val="00BF420F"/>
    <w:rsid w:val="00C036E0"/>
    <w:rsid w:val="00C06CF6"/>
    <w:rsid w:val="00C44C38"/>
    <w:rsid w:val="00C51275"/>
    <w:rsid w:val="00C55D23"/>
    <w:rsid w:val="00C70482"/>
    <w:rsid w:val="00C7554A"/>
    <w:rsid w:val="00C91574"/>
    <w:rsid w:val="00CE687E"/>
    <w:rsid w:val="00CE79DC"/>
    <w:rsid w:val="00D069D1"/>
    <w:rsid w:val="00D1286F"/>
    <w:rsid w:val="00D14BD3"/>
    <w:rsid w:val="00D16B1E"/>
    <w:rsid w:val="00D224D0"/>
    <w:rsid w:val="00D80010"/>
    <w:rsid w:val="00E20688"/>
    <w:rsid w:val="00E31C52"/>
    <w:rsid w:val="00E43220"/>
    <w:rsid w:val="00E8262E"/>
    <w:rsid w:val="00EA0A98"/>
    <w:rsid w:val="00EA35BA"/>
    <w:rsid w:val="00EB0213"/>
    <w:rsid w:val="00EE6F75"/>
    <w:rsid w:val="00EF3887"/>
    <w:rsid w:val="00EF425E"/>
    <w:rsid w:val="00F01B93"/>
    <w:rsid w:val="00F17937"/>
    <w:rsid w:val="00F23E5A"/>
    <w:rsid w:val="00F311F1"/>
    <w:rsid w:val="00F31976"/>
    <w:rsid w:val="00F354EC"/>
    <w:rsid w:val="00FA4764"/>
    <w:rsid w:val="00FC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10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5D23"/>
    <w:pPr>
      <w:keepNext/>
      <w:keepLines/>
      <w:tabs>
        <w:tab w:val="num" w:pos="0"/>
      </w:tabs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5D23"/>
    <w:rPr>
      <w:b/>
      <w:bCs/>
    </w:rPr>
  </w:style>
  <w:style w:type="character" w:customStyle="1" w:styleId="20">
    <w:name w:val="Заголовок 2 Знак"/>
    <w:basedOn w:val="a0"/>
    <w:link w:val="2"/>
    <w:rsid w:val="00C55D23"/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paragraph" w:styleId="a4">
    <w:name w:val="Body Text"/>
    <w:basedOn w:val="a"/>
    <w:link w:val="a5"/>
    <w:rsid w:val="00C70482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C7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011A8"/>
    <w:pPr>
      <w:suppressAutoHyphens w:val="0"/>
      <w:spacing w:after="240"/>
    </w:pPr>
    <w:rPr>
      <w:lang w:eastAsia="ru-RU"/>
    </w:rPr>
  </w:style>
  <w:style w:type="character" w:styleId="a7">
    <w:name w:val="footnote reference"/>
    <w:rsid w:val="000F02C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10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8">
    <w:name w:val="Hyperlink"/>
    <w:basedOn w:val="a0"/>
    <w:uiPriority w:val="99"/>
    <w:semiHidden/>
    <w:unhideWhenUsed/>
    <w:rsid w:val="00410E4A"/>
    <w:rPr>
      <w:color w:val="0000FF"/>
      <w:u w:val="single"/>
    </w:rPr>
  </w:style>
  <w:style w:type="character" w:styleId="a9">
    <w:name w:val="Emphasis"/>
    <w:basedOn w:val="a0"/>
    <w:uiPriority w:val="20"/>
    <w:qFormat/>
    <w:rsid w:val="00410E4A"/>
    <w:rPr>
      <w:i/>
      <w:iCs/>
    </w:rPr>
  </w:style>
  <w:style w:type="paragraph" w:styleId="aa">
    <w:name w:val="List Paragraph"/>
    <w:basedOn w:val="a"/>
    <w:uiPriority w:val="34"/>
    <w:qFormat/>
    <w:rsid w:val="00852D38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10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5D23"/>
    <w:pPr>
      <w:keepNext/>
      <w:keepLines/>
      <w:tabs>
        <w:tab w:val="num" w:pos="0"/>
      </w:tabs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5D23"/>
    <w:rPr>
      <w:b/>
      <w:bCs/>
    </w:rPr>
  </w:style>
  <w:style w:type="character" w:customStyle="1" w:styleId="20">
    <w:name w:val="Заголовок 2 Знак"/>
    <w:basedOn w:val="a0"/>
    <w:link w:val="2"/>
    <w:rsid w:val="00C55D23"/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paragraph" w:styleId="a4">
    <w:name w:val="Body Text"/>
    <w:basedOn w:val="a"/>
    <w:link w:val="a5"/>
    <w:rsid w:val="00C70482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C7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011A8"/>
    <w:pPr>
      <w:suppressAutoHyphens w:val="0"/>
      <w:spacing w:after="240"/>
    </w:pPr>
    <w:rPr>
      <w:lang w:eastAsia="ru-RU"/>
    </w:rPr>
  </w:style>
  <w:style w:type="character" w:styleId="a7">
    <w:name w:val="footnote reference"/>
    <w:rsid w:val="000F02C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10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8">
    <w:name w:val="Hyperlink"/>
    <w:basedOn w:val="a0"/>
    <w:uiPriority w:val="99"/>
    <w:semiHidden/>
    <w:unhideWhenUsed/>
    <w:rsid w:val="00410E4A"/>
    <w:rPr>
      <w:color w:val="0000FF"/>
      <w:u w:val="single"/>
    </w:rPr>
  </w:style>
  <w:style w:type="character" w:styleId="a9">
    <w:name w:val="Emphasis"/>
    <w:basedOn w:val="a0"/>
    <w:uiPriority w:val="20"/>
    <w:qFormat/>
    <w:rsid w:val="00410E4A"/>
    <w:rPr>
      <w:i/>
      <w:iCs/>
    </w:rPr>
  </w:style>
  <w:style w:type="paragraph" w:styleId="aa">
    <w:name w:val="List Paragraph"/>
    <w:basedOn w:val="a"/>
    <w:uiPriority w:val="34"/>
    <w:qFormat/>
    <w:rsid w:val="00852D3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814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741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288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03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342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Стародубова</dc:creator>
  <cp:lastModifiedBy>Менькова</cp:lastModifiedBy>
  <cp:revision>2</cp:revision>
  <dcterms:created xsi:type="dcterms:W3CDTF">2019-09-26T07:54:00Z</dcterms:created>
  <dcterms:modified xsi:type="dcterms:W3CDTF">2019-09-26T07:54:00Z</dcterms:modified>
</cp:coreProperties>
</file>